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C483" w14:textId="77777777" w:rsidR="00A874BD" w:rsidRPr="00CE3BB8" w:rsidRDefault="00A874BD" w:rsidP="00A874BD">
      <w:pPr>
        <w:rPr>
          <w:rFonts w:ascii="Arial" w:hAnsi="Arial" w:cs="Arial"/>
          <w:sz w:val="22"/>
          <w:szCs w:val="22"/>
          <w:lang w:val="en-GB"/>
        </w:rPr>
      </w:pPr>
    </w:p>
    <w:p w14:paraId="58BEB14D" w14:textId="77777777" w:rsidR="00A874BD" w:rsidRPr="00CE3BB8" w:rsidRDefault="00A874BD" w:rsidP="00A874BD">
      <w:pPr>
        <w:rPr>
          <w:rFonts w:ascii="Arial" w:hAnsi="Arial" w:cs="Arial"/>
          <w:b/>
          <w:bCs/>
          <w:sz w:val="22"/>
          <w:szCs w:val="22"/>
          <w:lang w:val="en-GB"/>
        </w:rPr>
      </w:pPr>
      <w:r w:rsidRPr="00CE3BB8">
        <w:rPr>
          <w:rFonts w:ascii="Arial" w:hAnsi="Arial" w:cs="Arial"/>
          <w:b/>
          <w:bCs/>
          <w:sz w:val="22"/>
          <w:szCs w:val="22"/>
          <w:lang w:val="en-GB"/>
        </w:rPr>
        <w:t>INFORMATIVES:</w:t>
      </w:r>
    </w:p>
    <w:p w14:paraId="26A4BD67" w14:textId="77777777" w:rsidR="00A874BD" w:rsidRPr="00CE3BB8" w:rsidRDefault="00A874BD" w:rsidP="00A874BD">
      <w:pPr>
        <w:rPr>
          <w:rFonts w:ascii="Arial" w:hAnsi="Arial" w:cs="Arial"/>
          <w:sz w:val="22"/>
          <w:szCs w:val="22"/>
          <w:lang w:val="en-GB"/>
        </w:rPr>
      </w:pPr>
    </w:p>
    <w:p w14:paraId="1902D783" w14:textId="77777777" w:rsidR="00A874BD" w:rsidRDefault="00A874BD" w:rsidP="00A874BD">
      <w:pPr>
        <w:numPr>
          <w:ilvl w:val="0"/>
          <w:numId w:val="1"/>
        </w:numPr>
        <w:rPr>
          <w:rFonts w:ascii="Arial" w:hAnsi="Arial" w:cs="Arial"/>
          <w:noProof/>
          <w:sz w:val="22"/>
          <w:szCs w:val="22"/>
          <w:lang w:val="en-GB"/>
        </w:rPr>
      </w:pPr>
      <w:r>
        <w:rPr>
          <w:rFonts w:ascii="Arial" w:hAnsi="Arial" w:cs="Arial"/>
          <w:noProof/>
          <w:sz w:val="22"/>
          <w:szCs w:val="22"/>
          <w:lang w:val="en-GB"/>
        </w:rPr>
        <w:t>Heathrow Airport:</w:t>
      </w:r>
    </w:p>
    <w:p w14:paraId="1D126DD2" w14:textId="77777777" w:rsidR="00A874BD" w:rsidRDefault="00A874BD" w:rsidP="00A874BD">
      <w:pPr>
        <w:ind w:left="360"/>
        <w:rPr>
          <w:rFonts w:ascii="Arial" w:hAnsi="Arial" w:cs="Arial"/>
          <w:i/>
          <w:iCs/>
          <w:noProof/>
          <w:sz w:val="22"/>
          <w:szCs w:val="22"/>
        </w:rPr>
      </w:pPr>
    </w:p>
    <w:p w14:paraId="670BD1BA" w14:textId="77777777" w:rsidR="00A874BD" w:rsidRDefault="00A874BD" w:rsidP="00A874BD">
      <w:pPr>
        <w:ind w:left="360"/>
        <w:rPr>
          <w:rFonts w:ascii="Arial" w:hAnsi="Arial" w:cs="Arial"/>
          <w:noProof/>
          <w:sz w:val="22"/>
          <w:szCs w:val="22"/>
        </w:rPr>
      </w:pPr>
      <w:r w:rsidRPr="0097175E">
        <w:rPr>
          <w:rFonts w:ascii="Arial" w:hAnsi="Arial" w:cs="Arial"/>
          <w:i/>
          <w:iCs/>
          <w:noProof/>
          <w:sz w:val="22"/>
          <w:szCs w:val="22"/>
        </w:rPr>
        <w:t>Cranes</w:t>
      </w:r>
      <w:r w:rsidRPr="0097175E">
        <w:rPr>
          <w:rFonts w:ascii="Arial" w:hAnsi="Arial" w:cs="Arial"/>
          <w:noProof/>
          <w:sz w:val="22"/>
          <w:szCs w:val="22"/>
        </w:rPr>
        <w:br/>
        <w:t>Due to the site being within 6km of Heathrow Airport the crane operator is required to submit all crane</w:t>
      </w:r>
      <w:r>
        <w:rPr>
          <w:rFonts w:ascii="Arial" w:hAnsi="Arial" w:cs="Arial"/>
          <w:noProof/>
          <w:sz w:val="22"/>
          <w:szCs w:val="22"/>
        </w:rPr>
        <w:t xml:space="preserve"> </w:t>
      </w:r>
      <w:r w:rsidRPr="0097175E">
        <w:rPr>
          <w:rFonts w:ascii="Arial" w:hAnsi="Arial" w:cs="Arial"/>
          <w:noProof/>
          <w:sz w:val="22"/>
          <w:szCs w:val="22"/>
        </w:rPr>
        <w:t>details such as maximum height, operating radius, name, and phone number of site manager along with</w:t>
      </w:r>
      <w:r>
        <w:rPr>
          <w:rFonts w:ascii="Arial" w:hAnsi="Arial" w:cs="Arial"/>
          <w:noProof/>
          <w:sz w:val="22"/>
          <w:szCs w:val="22"/>
        </w:rPr>
        <w:t xml:space="preserve"> </w:t>
      </w:r>
      <w:r w:rsidRPr="0097175E">
        <w:rPr>
          <w:rFonts w:ascii="Arial" w:hAnsi="Arial" w:cs="Arial"/>
          <w:noProof/>
          <w:sz w:val="22"/>
          <w:szCs w:val="22"/>
        </w:rPr>
        <w:t>installation and dismantling dates to the CAA</w:t>
      </w:r>
      <w:r>
        <w:rPr>
          <w:rFonts w:ascii="Arial" w:hAnsi="Arial" w:cs="Arial"/>
          <w:noProof/>
          <w:sz w:val="22"/>
          <w:szCs w:val="22"/>
        </w:rPr>
        <w:t xml:space="preserve"> </w:t>
      </w:r>
      <w:r w:rsidRPr="0097175E">
        <w:rPr>
          <w:rFonts w:ascii="Arial" w:hAnsi="Arial" w:cs="Arial"/>
          <w:noProof/>
          <w:sz w:val="22"/>
          <w:szCs w:val="22"/>
        </w:rPr>
        <w:t>Airspace Coordination and Obstacle Management Service</w:t>
      </w:r>
      <w:r>
        <w:rPr>
          <w:rFonts w:ascii="Arial" w:hAnsi="Arial" w:cs="Arial"/>
          <w:noProof/>
          <w:sz w:val="22"/>
          <w:szCs w:val="22"/>
        </w:rPr>
        <w:t xml:space="preserve"> </w:t>
      </w:r>
      <w:r w:rsidRPr="0097175E">
        <w:rPr>
          <w:rFonts w:ascii="Arial" w:hAnsi="Arial" w:cs="Arial"/>
          <w:noProof/>
          <w:sz w:val="22"/>
          <w:szCs w:val="22"/>
        </w:rPr>
        <w:t>(ACOMS) system.</w:t>
      </w:r>
      <w:r w:rsidRPr="0097175E">
        <w:rPr>
          <w:rFonts w:ascii="Arial" w:hAnsi="Arial" w:cs="Arial"/>
          <w:noProof/>
          <w:sz w:val="22"/>
          <w:szCs w:val="22"/>
        </w:rPr>
        <w:br/>
      </w:r>
    </w:p>
    <w:p w14:paraId="4B79AE80" w14:textId="77777777" w:rsidR="00A874BD" w:rsidRDefault="00A874BD" w:rsidP="00A874BD">
      <w:pPr>
        <w:ind w:left="360"/>
        <w:rPr>
          <w:rFonts w:ascii="Arial" w:hAnsi="Arial" w:cs="Arial"/>
          <w:noProof/>
          <w:sz w:val="22"/>
          <w:szCs w:val="22"/>
        </w:rPr>
      </w:pPr>
      <w:r w:rsidRPr="0097175E">
        <w:rPr>
          <w:rFonts w:ascii="Arial" w:hAnsi="Arial" w:cs="Arial"/>
          <w:noProof/>
          <w:sz w:val="22"/>
          <w:szCs w:val="22"/>
        </w:rPr>
        <w:t>For notification, please follow the link via CAA website:</w:t>
      </w:r>
      <w:r>
        <w:rPr>
          <w:rFonts w:ascii="Arial" w:hAnsi="Arial" w:cs="Arial"/>
          <w:noProof/>
          <w:sz w:val="22"/>
          <w:szCs w:val="22"/>
        </w:rPr>
        <w:t xml:space="preserve"> </w:t>
      </w:r>
      <w:r w:rsidRPr="0097175E">
        <w:rPr>
          <w:rFonts w:ascii="Arial" w:hAnsi="Arial" w:cs="Arial"/>
          <w:noProof/>
          <w:sz w:val="22"/>
          <w:szCs w:val="22"/>
        </w:rPr>
        <w:t>Crane notification | Civil Aviation Authority (caa.co.uk)</w:t>
      </w:r>
      <w:r w:rsidRPr="0097175E">
        <w:rPr>
          <w:rFonts w:ascii="Arial" w:hAnsi="Arial" w:cs="Arial"/>
          <w:noProof/>
          <w:sz w:val="22"/>
          <w:szCs w:val="22"/>
        </w:rPr>
        <w:br/>
      </w:r>
    </w:p>
    <w:p w14:paraId="16284DDA" w14:textId="77777777" w:rsidR="00A874BD" w:rsidRDefault="00A874BD" w:rsidP="00A874BD">
      <w:pPr>
        <w:ind w:left="360"/>
        <w:rPr>
          <w:rFonts w:ascii="Arial" w:hAnsi="Arial" w:cs="Arial"/>
          <w:noProof/>
          <w:sz w:val="22"/>
          <w:szCs w:val="22"/>
        </w:rPr>
      </w:pPr>
      <w:r w:rsidRPr="0097175E">
        <w:rPr>
          <w:rFonts w:ascii="Arial" w:hAnsi="Arial" w:cs="Arial"/>
          <w:noProof/>
          <w:sz w:val="22"/>
          <w:szCs w:val="22"/>
        </w:rPr>
        <w:t>Once crane notification has been received from the CAA, Heathrow Works Approval Team will assess</w:t>
      </w:r>
      <w:r>
        <w:rPr>
          <w:rFonts w:ascii="Arial" w:hAnsi="Arial" w:cs="Arial"/>
          <w:noProof/>
          <w:sz w:val="22"/>
          <w:szCs w:val="22"/>
        </w:rPr>
        <w:t xml:space="preserve"> </w:t>
      </w:r>
      <w:r w:rsidRPr="0097175E">
        <w:rPr>
          <w:rFonts w:ascii="Arial" w:hAnsi="Arial" w:cs="Arial"/>
          <w:noProof/>
          <w:sz w:val="22"/>
          <w:szCs w:val="22"/>
        </w:rPr>
        <w:t>and issue the necessary crane permit. No cranes should operate on site until a crane permit has been</w:t>
      </w:r>
      <w:r>
        <w:rPr>
          <w:rFonts w:ascii="Arial" w:hAnsi="Arial" w:cs="Arial"/>
          <w:noProof/>
          <w:sz w:val="22"/>
          <w:szCs w:val="22"/>
        </w:rPr>
        <w:t xml:space="preserve"> </w:t>
      </w:r>
      <w:r w:rsidRPr="0097175E">
        <w:rPr>
          <w:rFonts w:ascii="Arial" w:hAnsi="Arial" w:cs="Arial"/>
          <w:noProof/>
          <w:sz w:val="22"/>
          <w:szCs w:val="22"/>
        </w:rPr>
        <w:t>issued.</w:t>
      </w:r>
      <w:r>
        <w:rPr>
          <w:rFonts w:ascii="Arial" w:hAnsi="Arial" w:cs="Arial"/>
          <w:noProof/>
          <w:sz w:val="22"/>
          <w:szCs w:val="22"/>
        </w:rPr>
        <w:t xml:space="preserve"> </w:t>
      </w:r>
      <w:r w:rsidRPr="0097175E">
        <w:rPr>
          <w:rFonts w:ascii="Arial" w:hAnsi="Arial" w:cs="Arial"/>
          <w:noProof/>
          <w:sz w:val="22"/>
          <w:szCs w:val="22"/>
        </w:rPr>
        <w:t>Specific CAA guidance for crane lighting/marking is given in CAP1096: Guidance to crane users on</w:t>
      </w:r>
      <w:r>
        <w:rPr>
          <w:rFonts w:ascii="Arial" w:hAnsi="Arial" w:cs="Arial"/>
          <w:noProof/>
          <w:sz w:val="22"/>
          <w:szCs w:val="22"/>
        </w:rPr>
        <w:t xml:space="preserve"> </w:t>
      </w:r>
      <w:r w:rsidRPr="0097175E">
        <w:rPr>
          <w:rFonts w:ascii="Arial" w:hAnsi="Arial" w:cs="Arial"/>
          <w:noProof/>
          <w:sz w:val="22"/>
          <w:szCs w:val="22"/>
        </w:rPr>
        <w:t>the crane notification process and obstacle lighting and marking (caa.co.uk)</w:t>
      </w:r>
      <w:r w:rsidRPr="0097175E">
        <w:rPr>
          <w:rFonts w:ascii="Arial" w:hAnsi="Arial" w:cs="Arial"/>
          <w:noProof/>
          <w:sz w:val="22"/>
          <w:szCs w:val="22"/>
        </w:rPr>
        <w:br/>
      </w:r>
    </w:p>
    <w:p w14:paraId="233F6682" w14:textId="77777777" w:rsidR="00A874BD" w:rsidRPr="0097175E" w:rsidRDefault="00A874BD" w:rsidP="00A874BD">
      <w:pPr>
        <w:ind w:left="360"/>
        <w:rPr>
          <w:rFonts w:ascii="Arial" w:hAnsi="Arial" w:cs="Arial"/>
          <w:i/>
          <w:iCs/>
          <w:noProof/>
          <w:sz w:val="22"/>
          <w:szCs w:val="22"/>
        </w:rPr>
      </w:pPr>
      <w:r w:rsidRPr="0097175E">
        <w:rPr>
          <w:rFonts w:ascii="Arial" w:hAnsi="Arial" w:cs="Arial"/>
          <w:i/>
          <w:iCs/>
          <w:noProof/>
          <w:sz w:val="22"/>
          <w:szCs w:val="22"/>
        </w:rPr>
        <w:t>Lighting</w:t>
      </w:r>
    </w:p>
    <w:p w14:paraId="524C598D" w14:textId="77777777" w:rsidR="00A874BD" w:rsidRDefault="00A874BD" w:rsidP="00A874BD">
      <w:pPr>
        <w:ind w:left="360"/>
        <w:rPr>
          <w:rFonts w:ascii="Arial" w:hAnsi="Arial" w:cs="Arial"/>
          <w:noProof/>
          <w:sz w:val="22"/>
          <w:szCs w:val="22"/>
        </w:rPr>
      </w:pPr>
      <w:r w:rsidRPr="0097175E">
        <w:rPr>
          <w:rFonts w:ascii="Arial" w:hAnsi="Arial" w:cs="Arial"/>
          <w:noProof/>
          <w:sz w:val="22"/>
          <w:szCs w:val="22"/>
        </w:rPr>
        <w:br/>
        <w:t>The development is close to the aerodrome and the approach to the runway. We draw attention to the</w:t>
      </w:r>
      <w:r>
        <w:rPr>
          <w:rFonts w:ascii="Arial" w:hAnsi="Arial" w:cs="Arial"/>
          <w:noProof/>
          <w:sz w:val="22"/>
          <w:szCs w:val="22"/>
        </w:rPr>
        <w:t xml:space="preserve"> </w:t>
      </w:r>
      <w:r w:rsidRPr="0097175E">
        <w:rPr>
          <w:rFonts w:ascii="Arial" w:hAnsi="Arial" w:cs="Arial"/>
          <w:noProof/>
          <w:sz w:val="22"/>
          <w:szCs w:val="22"/>
        </w:rPr>
        <w:t>need to carefully design lighting proposals. This is further explained in Advice Note 2,</w:t>
      </w:r>
      <w:r>
        <w:rPr>
          <w:rFonts w:ascii="Arial" w:hAnsi="Arial" w:cs="Arial"/>
          <w:noProof/>
          <w:sz w:val="22"/>
          <w:szCs w:val="22"/>
        </w:rPr>
        <w:t xml:space="preserve"> ‘</w:t>
      </w:r>
      <w:r w:rsidRPr="0097175E">
        <w:rPr>
          <w:rFonts w:ascii="Arial" w:hAnsi="Arial" w:cs="Arial"/>
          <w:noProof/>
          <w:sz w:val="22"/>
          <w:szCs w:val="22"/>
        </w:rPr>
        <w:t>Lighting’</w:t>
      </w:r>
      <w:r>
        <w:rPr>
          <w:rFonts w:ascii="Arial" w:hAnsi="Arial" w:cs="Arial"/>
          <w:noProof/>
          <w:sz w:val="22"/>
          <w:szCs w:val="22"/>
        </w:rPr>
        <w:t xml:space="preserve"> </w:t>
      </w:r>
      <w:r w:rsidRPr="0097175E">
        <w:rPr>
          <w:rFonts w:ascii="Arial" w:hAnsi="Arial" w:cs="Arial"/>
          <w:noProof/>
          <w:sz w:val="22"/>
          <w:szCs w:val="22"/>
        </w:rPr>
        <w:t xml:space="preserve">(available at </w:t>
      </w:r>
      <w:hyperlink r:id="rId5" w:history="1">
        <w:r w:rsidRPr="00F80205">
          <w:rPr>
            <w:rStyle w:val="Hyperlink"/>
            <w:rFonts w:ascii="Arial" w:hAnsi="Arial" w:cs="Arial"/>
            <w:noProof/>
            <w:sz w:val="22"/>
            <w:szCs w:val="22"/>
          </w:rPr>
          <w:t>http://www.aoa.org.uk/wp-content/uploads/2016/09/Advice-Note-2-Lighting-2016.pdf</w:t>
        </w:r>
      </w:hyperlink>
      <w:r>
        <w:rPr>
          <w:rFonts w:ascii="Arial" w:hAnsi="Arial" w:cs="Arial"/>
          <w:noProof/>
          <w:sz w:val="22"/>
          <w:szCs w:val="22"/>
        </w:rPr>
        <w:t xml:space="preserve"> </w:t>
      </w:r>
      <w:r w:rsidRPr="0097175E">
        <w:rPr>
          <w:rFonts w:ascii="Arial" w:hAnsi="Arial" w:cs="Arial"/>
          <w:noProof/>
          <w:sz w:val="22"/>
          <w:szCs w:val="22"/>
        </w:rPr>
        <w:t>). Please note that the Air Navigation Order 2005, Article 135 grants the Civil Aviation Authority</w:t>
      </w:r>
      <w:r>
        <w:rPr>
          <w:rFonts w:ascii="Arial" w:hAnsi="Arial" w:cs="Arial"/>
          <w:noProof/>
          <w:sz w:val="22"/>
          <w:szCs w:val="22"/>
        </w:rPr>
        <w:t xml:space="preserve"> </w:t>
      </w:r>
      <w:r w:rsidRPr="0097175E">
        <w:rPr>
          <w:rFonts w:ascii="Arial" w:hAnsi="Arial" w:cs="Arial"/>
          <w:noProof/>
          <w:sz w:val="22"/>
          <w:szCs w:val="22"/>
        </w:rPr>
        <w:t>power to serve notice to extinguish or screen lighting which may endanger aircraft</w:t>
      </w:r>
      <w:r>
        <w:rPr>
          <w:rFonts w:ascii="Arial" w:hAnsi="Arial" w:cs="Arial"/>
          <w:noProof/>
          <w:sz w:val="22"/>
          <w:szCs w:val="22"/>
        </w:rPr>
        <w:t>.</w:t>
      </w:r>
    </w:p>
    <w:p w14:paraId="56144545" w14:textId="77777777" w:rsidR="00A874BD" w:rsidRDefault="00A874BD" w:rsidP="00A874BD">
      <w:pPr>
        <w:ind w:left="360"/>
        <w:rPr>
          <w:rFonts w:ascii="Arial" w:hAnsi="Arial" w:cs="Arial"/>
          <w:noProof/>
          <w:sz w:val="22"/>
          <w:szCs w:val="22"/>
          <w:lang w:val="en-GB"/>
        </w:rPr>
      </w:pPr>
    </w:p>
    <w:p w14:paraId="62B25A1B" w14:textId="77777777" w:rsidR="00A874BD" w:rsidRDefault="00A874BD" w:rsidP="00A874BD">
      <w:pPr>
        <w:numPr>
          <w:ilvl w:val="0"/>
          <w:numId w:val="1"/>
        </w:numPr>
        <w:rPr>
          <w:rFonts w:ascii="Arial" w:hAnsi="Arial" w:cs="Arial"/>
          <w:noProof/>
          <w:sz w:val="22"/>
          <w:szCs w:val="22"/>
          <w:lang w:val="en-GB"/>
        </w:rPr>
      </w:pPr>
      <w:r>
        <w:rPr>
          <w:rFonts w:ascii="Arial" w:hAnsi="Arial" w:cs="Arial"/>
          <w:noProof/>
          <w:sz w:val="22"/>
          <w:szCs w:val="22"/>
          <w:lang w:val="en-GB"/>
        </w:rPr>
        <w:t xml:space="preserve">Thames Water: </w:t>
      </w:r>
    </w:p>
    <w:p w14:paraId="6F37A92E" w14:textId="77777777" w:rsidR="00A874BD" w:rsidRDefault="00A874BD" w:rsidP="00A874BD">
      <w:pPr>
        <w:ind w:left="360"/>
        <w:rPr>
          <w:rFonts w:ascii="Arial" w:hAnsi="Arial" w:cs="Arial"/>
          <w:noProof/>
          <w:sz w:val="22"/>
          <w:szCs w:val="22"/>
          <w:lang w:val="en-GB"/>
        </w:rPr>
      </w:pPr>
    </w:p>
    <w:p w14:paraId="45622EB7" w14:textId="77777777" w:rsidR="00A874BD" w:rsidRDefault="00A874BD" w:rsidP="00A874BD">
      <w:pPr>
        <w:ind w:left="360"/>
        <w:rPr>
          <w:rFonts w:ascii="Arial" w:hAnsi="Arial" w:cs="Arial"/>
          <w:noProof/>
          <w:sz w:val="22"/>
          <w:szCs w:val="22"/>
        </w:rPr>
      </w:pPr>
      <w:r w:rsidRPr="00A76AB3">
        <w:rPr>
          <w:rFonts w:ascii="Arial" w:hAnsi="Arial" w:cs="Arial"/>
          <w:noProof/>
          <w:sz w:val="22"/>
          <w:szCs w:val="22"/>
        </w:rPr>
        <w:t>The proposed development is located within 20m of a Thames Water Sewage Pumping Station and this is contrary to best practice set out in Codes for Adoption (</w:t>
      </w:r>
      <w:hyperlink r:id="rId6" w:history="1">
        <w:r w:rsidRPr="00A76AB3">
          <w:rPr>
            <w:rStyle w:val="Hyperlink"/>
            <w:rFonts w:ascii="Arial" w:hAnsi="Arial" w:cs="Arial"/>
            <w:noProof/>
            <w:sz w:val="22"/>
            <w:szCs w:val="22"/>
          </w:rPr>
          <w:t>https://gbr01.safelinks.protection.outlook.com/?url=https%3A%2F%2Fwww.thameswater.co.uk%2Fdevelopers%2Flarger-scale-developments%2Fsewers-and-wastewater%2Fadopting-a-sewer&amp;data=05%7C02%7CAlex.Harrison%40slough.gov.uk%7C6fec9b4282be44697f5d08dd411f0cc1%7C5b68e17be5f9469eb0cfbed4fb97f95b%7C0%7C0%7C638738323781275242%7CUnknown%7CTWFpbGZsb3d8eyJFbXB0eU1hcGkiOnRydWUsIlYiOiIwLjAuMDAwMCIsIlAiOiJXaW4zMiIsIkFOIjoiTWFpbCIsIldUIjoyfQ%3D%3D%7C0%7C%7C%7C&amp;sdata=OFvpV0wXBdO56nQo0vXhcRZEa%2F2vW1YgsiMVxuVjwqc%3D&amp;reserved=0</w:t>
        </w:r>
      </w:hyperlink>
      <w:r w:rsidRPr="00A76AB3">
        <w:rPr>
          <w:rFonts w:ascii="Arial" w:hAnsi="Arial" w:cs="Arial"/>
          <w:noProof/>
          <w:sz w:val="22"/>
          <w:szCs w:val="22"/>
        </w:rPr>
        <w:t xml:space="preserve">). </w:t>
      </w:r>
    </w:p>
    <w:p w14:paraId="62A6F6A0" w14:textId="77777777" w:rsidR="00A874BD" w:rsidRDefault="00A874BD" w:rsidP="00A874BD">
      <w:pPr>
        <w:ind w:left="360"/>
        <w:rPr>
          <w:rFonts w:ascii="Arial" w:hAnsi="Arial" w:cs="Arial"/>
          <w:noProof/>
          <w:sz w:val="22"/>
          <w:szCs w:val="22"/>
        </w:rPr>
      </w:pPr>
    </w:p>
    <w:p w14:paraId="3A50314A" w14:textId="77777777" w:rsidR="00A874BD" w:rsidRPr="00976734" w:rsidRDefault="00A874BD" w:rsidP="00A874BD">
      <w:pPr>
        <w:ind w:left="360"/>
        <w:rPr>
          <w:rFonts w:ascii="Arial" w:hAnsi="Arial" w:cs="Arial"/>
          <w:noProof/>
          <w:sz w:val="22"/>
          <w:szCs w:val="22"/>
          <w:lang w:val="en-GB"/>
        </w:rPr>
      </w:pPr>
      <w:r w:rsidRPr="00A76AB3">
        <w:rPr>
          <w:rFonts w:ascii="Arial" w:hAnsi="Arial" w:cs="Arial"/>
          <w:noProof/>
          <w:sz w:val="22"/>
          <w:szCs w:val="22"/>
        </w:rPr>
        <w:t>Future occupiers of the development should be made aware that they could periodically experience adverse amenity impacts from the pumping station in the form of odour; light; vibration and/or noise.</w:t>
      </w:r>
      <w:r w:rsidRPr="00CE3BB8">
        <w:rPr>
          <w:rFonts w:ascii="Arial" w:hAnsi="Arial" w:cs="Arial"/>
          <w:noProof/>
          <w:sz w:val="22"/>
          <w:szCs w:val="22"/>
          <w:lang w:val="en-GB"/>
        </w:rPr>
        <w:br/>
      </w:r>
    </w:p>
    <w:p w14:paraId="317FC391" w14:textId="77777777" w:rsidR="00A874BD" w:rsidRDefault="00A874BD" w:rsidP="00A874BD">
      <w:pPr>
        <w:numPr>
          <w:ilvl w:val="0"/>
          <w:numId w:val="1"/>
        </w:numPr>
        <w:rPr>
          <w:rFonts w:ascii="Arial" w:hAnsi="Arial" w:cs="Arial"/>
          <w:noProof/>
          <w:sz w:val="22"/>
          <w:szCs w:val="22"/>
          <w:lang w:val="en-GB"/>
        </w:rPr>
      </w:pPr>
      <w:r>
        <w:rPr>
          <w:rFonts w:ascii="Arial" w:hAnsi="Arial" w:cs="Arial"/>
          <w:noProof/>
          <w:sz w:val="22"/>
          <w:szCs w:val="22"/>
          <w:lang w:val="en-GB"/>
        </w:rPr>
        <w:t>Slough Borough Council Highways:</w:t>
      </w:r>
    </w:p>
    <w:p w14:paraId="0D7E69CB" w14:textId="77777777" w:rsidR="00A874BD" w:rsidRDefault="00A874BD" w:rsidP="00A874BD">
      <w:pPr>
        <w:ind w:left="360"/>
        <w:rPr>
          <w:rFonts w:ascii="Arial" w:hAnsi="Arial" w:cs="Arial"/>
          <w:noProof/>
          <w:sz w:val="22"/>
          <w:szCs w:val="22"/>
          <w:lang w:val="en-GB"/>
        </w:rPr>
      </w:pPr>
    </w:p>
    <w:p w14:paraId="45AD5B99" w14:textId="77777777" w:rsidR="00A874BD" w:rsidRPr="00CE3BB8" w:rsidRDefault="00A874BD" w:rsidP="00A874BD">
      <w:pPr>
        <w:ind w:left="360"/>
        <w:rPr>
          <w:rFonts w:ascii="Arial" w:hAnsi="Arial" w:cs="Arial"/>
          <w:noProof/>
          <w:sz w:val="22"/>
          <w:szCs w:val="22"/>
          <w:lang w:val="en-GB"/>
        </w:rPr>
      </w:pPr>
      <w:r w:rsidRPr="00CE3BB8">
        <w:rPr>
          <w:rFonts w:ascii="Arial" w:hAnsi="Arial" w:cs="Arial"/>
          <w:noProof/>
          <w:sz w:val="22"/>
          <w:szCs w:val="22"/>
          <w:lang w:val="en-GB"/>
        </w:rPr>
        <w:t xml:space="preserve">The permission hereby granted shall not be construed as authority to obstruct the public highway by the erection of scaffolding, hoarding, skip or any other device or </w:t>
      </w:r>
      <w:r w:rsidRPr="00CE3BB8">
        <w:rPr>
          <w:rFonts w:ascii="Arial" w:hAnsi="Arial" w:cs="Arial"/>
          <w:noProof/>
          <w:sz w:val="22"/>
          <w:szCs w:val="22"/>
          <w:lang w:val="en-GB"/>
        </w:rPr>
        <w:lastRenderedPageBreak/>
        <w:t>apparatus for which a licence must be sought from the Highway Authority.</w:t>
      </w:r>
      <w:r w:rsidRPr="00CE3BB8">
        <w:rPr>
          <w:rFonts w:ascii="Arial" w:hAnsi="Arial" w:cs="Arial"/>
          <w:noProof/>
          <w:sz w:val="22"/>
          <w:szCs w:val="22"/>
          <w:lang w:val="en-GB"/>
        </w:rPr>
        <w:br/>
      </w:r>
    </w:p>
    <w:p w14:paraId="269FE808" w14:textId="77777777" w:rsidR="00A874BD" w:rsidRPr="00CE3BB8" w:rsidRDefault="00A874BD" w:rsidP="00A874BD">
      <w:pPr>
        <w:ind w:left="360"/>
        <w:rPr>
          <w:rFonts w:ascii="Arial" w:hAnsi="Arial" w:cs="Arial"/>
          <w:noProof/>
          <w:sz w:val="22"/>
          <w:szCs w:val="22"/>
          <w:lang w:val="en-GB"/>
        </w:rPr>
      </w:pPr>
      <w:r w:rsidRPr="00CE3BB8">
        <w:rPr>
          <w:rFonts w:ascii="Arial" w:hAnsi="Arial" w:cs="Arial"/>
          <w:noProof/>
          <w:sz w:val="22"/>
          <w:szCs w:val="22"/>
          <w:lang w:val="en-GB"/>
        </w:rPr>
        <w:t xml:space="preserve">The applicant will need to take the appropriate protective measures to ensure the highway and statutory undertakers apparatus are not damaged during the construction of the new unit/s. </w:t>
      </w:r>
      <w:r w:rsidRPr="00CE3BB8">
        <w:rPr>
          <w:rFonts w:ascii="Arial" w:hAnsi="Arial" w:cs="Arial"/>
          <w:noProof/>
          <w:sz w:val="22"/>
          <w:szCs w:val="22"/>
          <w:lang w:val="en-GB"/>
        </w:rPr>
        <w:br/>
      </w:r>
    </w:p>
    <w:p w14:paraId="5F954083" w14:textId="77777777" w:rsidR="00A874BD" w:rsidRDefault="00A874BD" w:rsidP="00A874BD">
      <w:pPr>
        <w:ind w:left="360"/>
        <w:rPr>
          <w:rFonts w:ascii="Arial" w:hAnsi="Arial" w:cs="Arial"/>
          <w:noProof/>
          <w:sz w:val="22"/>
          <w:szCs w:val="22"/>
          <w:lang w:val="en-GB"/>
        </w:rPr>
      </w:pPr>
      <w:r w:rsidRPr="00CE3BB8">
        <w:rPr>
          <w:rFonts w:ascii="Arial" w:hAnsi="Arial" w:cs="Arial"/>
          <w:noProof/>
          <w:sz w:val="22"/>
          <w:szCs w:val="22"/>
          <w:lang w:val="en-GB"/>
        </w:rPr>
        <w:t>Prior to commencing works the applicant will need to enter into a Section 278 Agreement of the Highways Act 1980 with Slough Borough Council for the implementation of the works in the highway works schedule. The applicant should be made aware that commuted sums will be payable under this agreement for any requirements that burden the highway authority with additional future maintenance costs.</w:t>
      </w:r>
    </w:p>
    <w:p w14:paraId="7BD8D7F9" w14:textId="77777777" w:rsidR="00A874BD" w:rsidRDefault="00A874BD" w:rsidP="00A874BD">
      <w:pPr>
        <w:ind w:left="360"/>
        <w:rPr>
          <w:rFonts w:ascii="Arial" w:hAnsi="Arial" w:cs="Arial"/>
          <w:noProof/>
          <w:sz w:val="22"/>
          <w:szCs w:val="22"/>
          <w:lang w:val="en-GB"/>
        </w:rPr>
      </w:pPr>
    </w:p>
    <w:p w14:paraId="68F57F0A" w14:textId="0271F7FD" w:rsidR="007B0178" w:rsidRDefault="007B0178"/>
    <w:sectPr w:rsidR="007B0178" w:rsidSect="00A874BD">
      <w:headerReference w:type="even" r:id="rId7"/>
      <w:headerReference w:type="default" r:id="rId8"/>
      <w:footerReference w:type="even" r:id="rId9"/>
      <w:footerReference w:type="default" r:id="rId10"/>
      <w:headerReference w:type="first" r:id="rId11"/>
      <w:footerReference w:type="first" r:id="rId12"/>
      <w:pgSz w:w="12240" w:h="15840" w:code="1"/>
      <w:pgMar w:top="1440" w:right="1797" w:bottom="1440" w:left="1797" w:header="720" w:footer="720" w:gutter="0"/>
      <w:paperSrc w:first="3" w:other="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8835" w14:textId="77777777" w:rsidR="007B0178" w:rsidRDefault="007B0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35BB" w14:textId="77777777" w:rsidR="007B0178" w:rsidRPr="00976734" w:rsidRDefault="007B0178" w:rsidP="001B7442">
    <w:pPr>
      <w:pStyle w:val="Footer"/>
      <w:rPr>
        <w:rFonts w:ascii="Arial" w:hAnsi="Arial" w:cs="Arial"/>
      </w:rPr>
    </w:pPr>
    <w:r w:rsidRPr="00976734">
      <w:rPr>
        <w:rFonts w:ascii="Arial" w:hAnsi="Arial" w:cs="Arial"/>
      </w:rPr>
      <w:t xml:space="preserve">Page </w:t>
    </w:r>
    <w:r w:rsidRPr="00976734">
      <w:rPr>
        <w:rStyle w:val="PageNumber"/>
        <w:rFonts w:ascii="Arial" w:hAnsi="Arial" w:cs="Arial"/>
      </w:rPr>
      <w:fldChar w:fldCharType="begin"/>
    </w:r>
    <w:r w:rsidRPr="00976734">
      <w:rPr>
        <w:rStyle w:val="PageNumber"/>
        <w:rFonts w:ascii="Arial" w:hAnsi="Arial" w:cs="Arial"/>
      </w:rPr>
      <w:instrText xml:space="preserve"> PAGE </w:instrText>
    </w:r>
    <w:r w:rsidRPr="00976734">
      <w:rPr>
        <w:rStyle w:val="PageNumber"/>
        <w:rFonts w:ascii="Arial" w:hAnsi="Arial" w:cs="Arial"/>
      </w:rPr>
      <w:fldChar w:fldCharType="separate"/>
    </w:r>
    <w:r w:rsidRPr="00976734">
      <w:rPr>
        <w:rStyle w:val="PageNumber"/>
        <w:rFonts w:ascii="Arial" w:hAnsi="Arial" w:cs="Arial"/>
        <w:noProof/>
      </w:rPr>
      <w:t>1</w:t>
    </w:r>
    <w:r w:rsidRPr="00976734">
      <w:rPr>
        <w:rStyle w:val="PageNumber"/>
        <w:rFonts w:ascii="Arial" w:hAnsi="Arial" w:cs="Arial"/>
      </w:rPr>
      <w:fldChar w:fldCharType="end"/>
    </w:r>
    <w:r w:rsidRPr="00976734">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7184" w14:textId="77777777" w:rsidR="007B0178" w:rsidRDefault="007B01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84A9" w14:textId="77777777" w:rsidR="007B0178" w:rsidRDefault="007B0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86FB" w14:textId="77777777" w:rsidR="007B0178" w:rsidRDefault="007B0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F218" w14:textId="77777777" w:rsidR="007B0178" w:rsidRDefault="007B0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9B20BD"/>
    <w:multiLevelType w:val="singleLevel"/>
    <w:tmpl w:val="936E748A"/>
    <w:lvl w:ilvl="0">
      <w:start w:val="1"/>
      <w:numFmt w:val="decimal"/>
      <w:lvlText w:val="%1."/>
      <w:lvlJc w:val="left"/>
      <w:pPr>
        <w:tabs>
          <w:tab w:val="num" w:pos="360"/>
        </w:tabs>
        <w:ind w:left="360" w:hanging="360"/>
      </w:pPr>
    </w:lvl>
  </w:abstractNum>
  <w:num w:numId="1" w16cid:durableId="24349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BD"/>
    <w:rsid w:val="00077667"/>
    <w:rsid w:val="00206DB9"/>
    <w:rsid w:val="00233D19"/>
    <w:rsid w:val="00452D76"/>
    <w:rsid w:val="004C5335"/>
    <w:rsid w:val="004E3CAD"/>
    <w:rsid w:val="004F664E"/>
    <w:rsid w:val="005E2667"/>
    <w:rsid w:val="00605595"/>
    <w:rsid w:val="00666426"/>
    <w:rsid w:val="007B0178"/>
    <w:rsid w:val="007C0544"/>
    <w:rsid w:val="00837CDA"/>
    <w:rsid w:val="009931FB"/>
    <w:rsid w:val="009D14EA"/>
    <w:rsid w:val="00A874BD"/>
    <w:rsid w:val="00C90BED"/>
    <w:rsid w:val="00CB337A"/>
    <w:rsid w:val="00CD5768"/>
    <w:rsid w:val="00E62F36"/>
    <w:rsid w:val="00FF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4E3E"/>
  <w15:chartTrackingRefBased/>
  <w15:docId w15:val="{A39862A3-B802-4EC8-B7D5-48E66084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BD"/>
    <w:pPr>
      <w:spacing w:after="0" w:line="240" w:lineRule="auto"/>
    </w:pPr>
    <w:rPr>
      <w:rFonts w:ascii="Times New Roman" w:eastAsia="Times New Roman" w:hAnsi="Times New Roman" w:cs="Times New Roman"/>
      <w:kern w:val="0"/>
      <w:sz w:val="20"/>
      <w:szCs w:val="2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4BD"/>
    <w:pPr>
      <w:tabs>
        <w:tab w:val="center" w:pos="4153"/>
        <w:tab w:val="right" w:pos="8306"/>
      </w:tabs>
    </w:pPr>
  </w:style>
  <w:style w:type="character" w:customStyle="1" w:styleId="HeaderChar">
    <w:name w:val="Header Char"/>
    <w:basedOn w:val="DefaultParagraphFont"/>
    <w:link w:val="Header"/>
    <w:rsid w:val="00A874BD"/>
    <w:rPr>
      <w:rFonts w:ascii="Times New Roman" w:eastAsia="Times New Roman" w:hAnsi="Times New Roman" w:cs="Times New Roman"/>
      <w:kern w:val="0"/>
      <w:sz w:val="20"/>
      <w:szCs w:val="20"/>
      <w:lang w:val="en-US" w:eastAsia="en-GB"/>
      <w14:ligatures w14:val="none"/>
    </w:rPr>
  </w:style>
  <w:style w:type="paragraph" w:styleId="Footer">
    <w:name w:val="footer"/>
    <w:basedOn w:val="Normal"/>
    <w:link w:val="FooterChar"/>
    <w:rsid w:val="00A874BD"/>
    <w:pPr>
      <w:tabs>
        <w:tab w:val="center" w:pos="4153"/>
        <w:tab w:val="right" w:pos="8306"/>
      </w:tabs>
    </w:pPr>
  </w:style>
  <w:style w:type="character" w:customStyle="1" w:styleId="FooterChar">
    <w:name w:val="Footer Char"/>
    <w:basedOn w:val="DefaultParagraphFont"/>
    <w:link w:val="Footer"/>
    <w:rsid w:val="00A874BD"/>
    <w:rPr>
      <w:rFonts w:ascii="Times New Roman" w:eastAsia="Times New Roman" w:hAnsi="Times New Roman" w:cs="Times New Roman"/>
      <w:kern w:val="0"/>
      <w:sz w:val="20"/>
      <w:szCs w:val="20"/>
      <w:lang w:val="en-US" w:eastAsia="en-GB"/>
      <w14:ligatures w14:val="none"/>
    </w:rPr>
  </w:style>
  <w:style w:type="character" w:styleId="PageNumber">
    <w:name w:val="page number"/>
    <w:basedOn w:val="DefaultParagraphFont"/>
    <w:rsid w:val="00A874BD"/>
  </w:style>
  <w:style w:type="character" w:styleId="Hyperlink">
    <w:name w:val="Hyperlink"/>
    <w:basedOn w:val="DefaultParagraphFont"/>
    <w:rsid w:val="00A874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thameswater.co.uk%2Fdevelopers%2Flarger-scale-developments%2Fsewers-and-wastewater%2Fadopting-a-sewer&amp;data=05%7C02%7CAlex.Harrison%40slough.gov.uk%7C6fec9b4282be44697f5d08dd411f0cc1%7C5b68e17be5f9469eb0cfbed4fb97f95b%7C0%7C0%7C638738323781275242%7CUnknown%7CTWFpbGZsb3d8eyJFbXB0eU1hcGkiOnRydWUsIlYiOiIwLjAuMDAwMCIsIlAiOiJXaW4zMiIsIkFOIjoiTWFpbCIsIldUIjoyfQ%3D%3D%7C0%7C%7C%7C&amp;sdata=OFvpV0wXBdO56nQo0vXhcRZEa%2F2vW1YgsiMVxuVjwqc%3D&amp;reserved=0" TargetMode="External"/><Relationship Id="rId11" Type="http://schemas.openxmlformats.org/officeDocument/2006/relationships/header" Target="header3.xml"/><Relationship Id="rId5" Type="http://schemas.openxmlformats.org/officeDocument/2006/relationships/hyperlink" Target="http://www.aoa.org.uk/wp-content/uploads/2016/09/Advice-Note-2-Lighting-2016.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Neetal Rajput</dc:creator>
  <cp:keywords/>
  <dc:description/>
  <cp:lastModifiedBy>Neetal Rajput</cp:lastModifiedBy>
  <cp:revision>2</cp:revision>
  <dcterms:created xsi:type="dcterms:W3CDTF">2025-07-16T10:43:00Z</dcterms:created>
  <dcterms:modified xsi:type="dcterms:W3CDTF">2025-07-16T10:53:00Z</dcterms:modified>
</cp:coreProperties>
</file>